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A5" w:rsidRPr="00E86EA1" w:rsidRDefault="00427BA5" w:rsidP="00427BA5">
      <w:pPr>
        <w:pStyle w:val="Web"/>
        <w:spacing w:before="0" w:beforeAutospacing="0" w:after="0" w:afterAutospacing="0"/>
        <w:jc w:val="both"/>
        <w:rPr>
          <w:rFonts w:asciiTheme="minorHAnsi" w:hAnsiTheme="minorHAnsi" w:cstheme="minorHAnsi"/>
          <w:color w:val="17365D" w:themeColor="text2" w:themeShade="BF"/>
          <w:lang w:val="en-US"/>
        </w:rPr>
      </w:pPr>
    </w:p>
    <w:p w:rsidR="00427BA5" w:rsidRPr="00E86EA1" w:rsidRDefault="00427BA5" w:rsidP="00427BA5">
      <w:pPr>
        <w:shd w:val="clear" w:color="auto" w:fill="FFFFFF"/>
        <w:spacing w:after="0" w:line="360" w:lineRule="auto"/>
        <w:jc w:val="both"/>
        <w:rPr>
          <w:rFonts w:eastAsia="Times New Roman" w:cstheme="minorHAnsi"/>
          <w:b/>
          <w:color w:val="17365D" w:themeColor="text2" w:themeShade="BF"/>
          <w:sz w:val="24"/>
          <w:szCs w:val="24"/>
          <w:lang w:val="en-US" w:eastAsia="el-GR"/>
        </w:rPr>
      </w:pPr>
      <w:r>
        <w:rPr>
          <w:rFonts w:eastAsia="Times New Roman" w:cstheme="minorHAnsi"/>
          <w:b/>
          <w:noProof/>
          <w:color w:val="17365D" w:themeColor="text2" w:themeShade="BF"/>
          <w:sz w:val="24"/>
          <w:szCs w:val="24"/>
          <w:lang w:eastAsia="el-GR"/>
        </w:rPr>
        <w:pict>
          <v:shapetype id="_x0000_t202" coordsize="21600,21600" o:spt="202" path="m,l,21600r21600,l21600,xe">
            <v:stroke joinstyle="miter"/>
            <v:path gradientshapeok="t" o:connecttype="rect"/>
          </v:shapetype>
          <v:shape id="_x0000_s1026" type="#_x0000_t202" style="position:absolute;left:0;text-align:left;margin-left:.6pt;margin-top:1.15pt;width:246.4pt;height:34.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" fillcolor="#8db3e2 [1311]" strokecolor="#ffc000" strokeweight="1.5pt">
            <v:textbox style="mso-next-textbox:#_x0000_s1026" inset=",4mm">
              <w:txbxContent>
                <w:p w:rsidR="00427BA5" w:rsidRPr="0063436D" w:rsidRDefault="00576AD1" w:rsidP="00576AD1">
                  <w:pPr>
                    <w:rPr>
                      <w:rFonts w:cstheme="minorHAnsi"/>
                      <w:color w:val="17365D" w:themeColor="text2" w:themeShade="BF"/>
                      <w:sz w:val="24"/>
                      <w:szCs w:val="24"/>
                    </w:rPr>
                  </w:pPr>
                  <w:r>
                    <w:rPr>
                      <w:rFonts w:eastAsia="Times New Roman" w:cstheme="minorHAnsi"/>
                      <w:b/>
                      <w:bCs/>
                      <w:color w:val="17365D" w:themeColor="text2" w:themeShade="BF"/>
                      <w:sz w:val="24"/>
                      <w:szCs w:val="24"/>
                      <w:lang w:val="en-US" w:eastAsia="el-GR"/>
                    </w:rPr>
                    <w:t xml:space="preserve">WP5 </w:t>
                  </w:r>
                  <w:r w:rsidR="00AA5C88">
                    <w:rPr>
                      <w:rFonts w:eastAsia="Times New Roman" w:cstheme="minorHAnsi"/>
                      <w:b/>
                      <w:bCs/>
                      <w:color w:val="17365D" w:themeColor="text2" w:themeShade="BF"/>
                      <w:sz w:val="24"/>
                      <w:szCs w:val="24"/>
                      <w:lang w:val="en-US" w:eastAsia="el-GR"/>
                    </w:rPr>
                    <w:t>–NoE-</w:t>
                  </w:r>
                  <w:r w:rsidR="00427BA5" w:rsidRPr="0063436D">
                    <w:rPr>
                      <w:rFonts w:eastAsia="Times New Roman" w:cstheme="minorHAnsi"/>
                      <w:b/>
                      <w:bCs/>
                      <w:color w:val="17365D" w:themeColor="text2" w:themeShade="BF"/>
                      <w:sz w:val="24"/>
                      <w:szCs w:val="24"/>
                      <w:lang w:val="en-US" w:eastAsia="el-GR"/>
                    </w:rPr>
                    <w:t>Complex &amp; Poor prognosis cancer</w:t>
                  </w:r>
                </w:p>
              </w:txbxContent>
            </v:textbox>
          </v:shape>
        </w:pict>
      </w:r>
    </w:p>
    <w:p w:rsidR="00427BA5" w:rsidRPr="00E86EA1" w:rsidRDefault="00427BA5" w:rsidP="00427BA5">
      <w:pPr>
        <w:shd w:val="clear" w:color="auto" w:fill="FFFFFF"/>
        <w:spacing w:after="0" w:line="360" w:lineRule="auto"/>
        <w:jc w:val="both"/>
        <w:rPr>
          <w:rFonts w:eastAsia="Times New Roman" w:cstheme="minorHAnsi"/>
          <w:color w:val="17365D" w:themeColor="text2" w:themeShade="BF"/>
          <w:sz w:val="24"/>
          <w:szCs w:val="24"/>
          <w:lang w:val="en-GB" w:eastAsia="el-GR"/>
        </w:rPr>
      </w:pPr>
    </w:p>
    <w:p w:rsidR="00427BA5" w:rsidRDefault="00427BA5" w:rsidP="00427BA5">
      <w:pPr>
        <w:shd w:val="clear" w:color="auto" w:fill="FFFFFF"/>
        <w:spacing w:after="0" w:line="360" w:lineRule="auto"/>
        <w:jc w:val="both"/>
        <w:rPr>
          <w:rFonts w:eastAsia="Times New Roman" w:cstheme="minorHAnsi"/>
          <w:color w:val="17365D" w:themeColor="text2" w:themeShade="BF"/>
          <w:sz w:val="24"/>
          <w:szCs w:val="24"/>
          <w:lang w:eastAsia="el-GR"/>
        </w:rPr>
      </w:pPr>
    </w:p>
    <w:p w:rsidR="00427BA5" w:rsidRPr="00427BA5" w:rsidRDefault="00427BA5" w:rsidP="00427BA5">
      <w:pPr>
        <w:shd w:val="clear" w:color="auto" w:fill="FFFFFF"/>
        <w:spacing w:after="0" w:line="360" w:lineRule="auto"/>
        <w:jc w:val="both"/>
        <w:rPr>
          <w:rFonts w:eastAsia="Times New Roman" w:cstheme="minorHAnsi"/>
          <w:b/>
          <w:sz w:val="24"/>
          <w:szCs w:val="24"/>
          <w:lang w:val="en-US" w:eastAsia="el-GR"/>
        </w:rPr>
      </w:pPr>
      <w:r w:rsidRPr="00427BA5">
        <w:rPr>
          <w:rFonts w:eastAsia="Times New Roman" w:cstheme="minorHAnsi"/>
          <w:b/>
          <w:sz w:val="24"/>
          <w:szCs w:val="24"/>
          <w:lang w:val="en-US" w:eastAsia="el-GR"/>
        </w:rPr>
        <w:t xml:space="preserve">WP5 12-month </w:t>
      </w:r>
      <w:proofErr w:type="gramStart"/>
      <w:r w:rsidRPr="00427BA5">
        <w:rPr>
          <w:rFonts w:eastAsia="Times New Roman" w:cstheme="minorHAnsi"/>
          <w:b/>
          <w:sz w:val="24"/>
          <w:szCs w:val="24"/>
          <w:lang w:val="en-US" w:eastAsia="el-GR"/>
        </w:rPr>
        <w:t>update</w:t>
      </w:r>
      <w:proofErr w:type="gramEnd"/>
      <w:r w:rsidRPr="00427BA5">
        <w:rPr>
          <w:rFonts w:eastAsia="Times New Roman" w:cstheme="minorHAnsi"/>
          <w:b/>
          <w:sz w:val="24"/>
          <w:szCs w:val="24"/>
          <w:lang w:val="en-US" w:eastAsia="el-GR"/>
        </w:rPr>
        <w:t xml:space="preserve"> (October 2022 - September 2023)</w:t>
      </w:r>
    </w:p>
    <w:p w:rsidR="00427BA5" w:rsidRDefault="00427BA5" w:rsidP="00427BA5">
      <w:pPr>
        <w:shd w:val="clear" w:color="auto" w:fill="FFFFFF"/>
        <w:spacing w:after="0" w:line="360" w:lineRule="auto"/>
        <w:jc w:val="both"/>
        <w:rPr>
          <w:rFonts w:eastAsia="Times New Roman" w:cstheme="minorHAnsi"/>
          <w:sz w:val="24"/>
          <w:szCs w:val="24"/>
          <w:lang w:val="en-GB" w:eastAsia="el-GR"/>
        </w:rPr>
      </w:pPr>
    </w:p>
    <w:p w:rsidR="00427BA5" w:rsidRPr="00427BA5" w:rsidRDefault="00427BA5" w:rsidP="00427BA5">
      <w:pPr>
        <w:shd w:val="clear" w:color="auto" w:fill="FFFFFF"/>
        <w:spacing w:after="0" w:line="360" w:lineRule="auto"/>
        <w:jc w:val="both"/>
        <w:rPr>
          <w:rFonts w:eastAsia="Times New Roman" w:cstheme="minorHAnsi"/>
          <w:sz w:val="24"/>
          <w:szCs w:val="24"/>
          <w:lang w:val="en-US" w:eastAsia="el-GR"/>
        </w:rPr>
      </w:pPr>
      <w:r w:rsidRPr="00427BA5">
        <w:rPr>
          <w:rFonts w:eastAsia="Times New Roman" w:cstheme="minorHAnsi"/>
          <w:sz w:val="24"/>
          <w:szCs w:val="24"/>
          <w:lang w:val="en-GB" w:eastAsia="el-GR"/>
        </w:rPr>
        <w:t xml:space="preserve">Mission of NoE on </w:t>
      </w:r>
      <w:r w:rsidRPr="00427BA5">
        <w:rPr>
          <w:rFonts w:eastAsia="Times New Roman" w:cstheme="minorHAnsi"/>
          <w:sz w:val="24"/>
          <w:szCs w:val="24"/>
          <w:lang w:val="en-US" w:eastAsia="el-GR"/>
        </w:rPr>
        <w:t>Poor prognosis cancer</w:t>
      </w:r>
      <w:r w:rsidRPr="00427BA5">
        <w:rPr>
          <w:rFonts w:eastAsia="Times New Roman" w:cstheme="minorHAnsi"/>
          <w:sz w:val="24"/>
          <w:szCs w:val="24"/>
          <w:lang w:val="en-GB" w:eastAsia="el-GR"/>
        </w:rPr>
        <w:t xml:space="preserve"> was established - increase survival rate of patients with PPC at least above 33%. The group decided to run a pilot NoE PPC dedicated to pancreatic cancer since the 5 year overall survival in this group is around 10%.  Pancreatic cancer working group was formed and existing models of pancreatic cancer care were evaluated for current and future networking and mapping of existing initiatives dedicated to pancreatic cancers was performed.</w:t>
      </w:r>
    </w:p>
    <w:p w:rsidR="00427BA5" w:rsidRPr="00427BA5" w:rsidRDefault="00427BA5" w:rsidP="00427BA5">
      <w:pPr>
        <w:shd w:val="clear" w:color="auto" w:fill="FFFFFF"/>
        <w:spacing w:after="0" w:line="360" w:lineRule="auto"/>
        <w:jc w:val="both"/>
        <w:rPr>
          <w:rFonts w:eastAsia="Times New Roman" w:cstheme="minorHAnsi"/>
          <w:sz w:val="24"/>
          <w:szCs w:val="24"/>
          <w:lang w:eastAsia="el-GR"/>
        </w:rPr>
      </w:pPr>
      <w:r w:rsidRPr="00427BA5">
        <w:rPr>
          <w:rFonts w:eastAsia="Times New Roman" w:cstheme="minorHAnsi"/>
          <w:sz w:val="24"/>
          <w:szCs w:val="24"/>
          <w:lang w:val="en-GB" w:eastAsia="el-GR"/>
        </w:rPr>
        <w:t>There was consensus about building the multidisciplinary group gathering the expertise, professionals from different specializations, PAGs and societies or institutions representing the healthcare systems across Europe. The list of experts involved in model WP5 Poor Prognosis Cancers was prepared.</w:t>
      </w:r>
      <w:r w:rsidRPr="00427BA5">
        <w:rPr>
          <w:rFonts w:eastAsia="Times New Roman" w:cstheme="minorHAnsi"/>
          <w:sz w:val="24"/>
          <w:szCs w:val="24"/>
          <w:lang w:val="en-US" w:eastAsia="el-GR"/>
        </w:rPr>
        <w:t xml:space="preserve"> </w:t>
      </w:r>
    </w:p>
    <w:p w:rsidR="00427BA5" w:rsidRPr="00427BA5" w:rsidRDefault="00427BA5" w:rsidP="00427BA5">
      <w:pPr>
        <w:shd w:val="clear" w:color="auto" w:fill="FFFFFF"/>
        <w:spacing w:after="0" w:line="360" w:lineRule="auto"/>
        <w:jc w:val="both"/>
        <w:rPr>
          <w:rFonts w:eastAsia="Times New Roman" w:cstheme="minorHAnsi"/>
          <w:sz w:val="24"/>
          <w:szCs w:val="24"/>
          <w:lang w:eastAsia="el-GR"/>
        </w:rPr>
      </w:pPr>
      <w:r w:rsidRPr="00427BA5">
        <w:rPr>
          <w:rFonts w:eastAsia="Times New Roman" w:cstheme="minorHAnsi"/>
          <w:sz w:val="24"/>
          <w:szCs w:val="24"/>
          <w:lang w:val="en-GB" w:eastAsia="el-GR"/>
        </w:rPr>
        <w:t>Pancreatic cancer working group revised deliverables and set of standards on early diagnosis, guidelines and education provided by IPAAC. Four domains for pancreatic cancer NoE were defined:</w:t>
      </w:r>
    </w:p>
    <w:p w:rsidR="00427BA5" w:rsidRPr="00427BA5" w:rsidRDefault="00427BA5" w:rsidP="00427BA5">
      <w:pPr>
        <w:shd w:val="clear" w:color="auto" w:fill="FFFFFF"/>
        <w:spacing w:after="0" w:line="360" w:lineRule="auto"/>
        <w:jc w:val="both"/>
        <w:rPr>
          <w:rFonts w:eastAsia="Times New Roman" w:cstheme="minorHAnsi"/>
          <w:sz w:val="24"/>
          <w:szCs w:val="24"/>
          <w:lang w:val="en-US" w:eastAsia="el-GR"/>
        </w:rPr>
      </w:pPr>
      <w:r w:rsidRPr="00427BA5">
        <w:rPr>
          <w:rFonts w:eastAsia="Times New Roman" w:cstheme="minorHAnsi"/>
          <w:sz w:val="24"/>
          <w:szCs w:val="24"/>
          <w:lang w:val="en-US" w:eastAsia="el-GR"/>
        </w:rPr>
        <w:t>-</w:t>
      </w:r>
      <w:r w:rsidRPr="00427BA5">
        <w:rPr>
          <w:rFonts w:eastAsia="Times New Roman" w:cstheme="minorHAnsi"/>
          <w:sz w:val="24"/>
          <w:szCs w:val="24"/>
          <w:lang w:val="en-GB" w:eastAsia="el-GR"/>
        </w:rPr>
        <w:t xml:space="preserve"> </w:t>
      </w:r>
      <w:proofErr w:type="gramStart"/>
      <w:r w:rsidRPr="00427BA5">
        <w:rPr>
          <w:rFonts w:eastAsia="Times New Roman" w:cstheme="minorHAnsi"/>
          <w:sz w:val="24"/>
          <w:szCs w:val="24"/>
          <w:lang w:val="en-GB" w:eastAsia="el-GR"/>
        </w:rPr>
        <w:t>research</w:t>
      </w:r>
      <w:proofErr w:type="gramEnd"/>
      <w:r w:rsidRPr="00427BA5">
        <w:rPr>
          <w:rFonts w:eastAsia="Times New Roman" w:cstheme="minorHAnsi"/>
          <w:sz w:val="24"/>
          <w:szCs w:val="24"/>
          <w:lang w:val="en-GB" w:eastAsia="el-GR"/>
        </w:rPr>
        <w:t xml:space="preserve"> and innovation</w:t>
      </w:r>
    </w:p>
    <w:p w:rsidR="00427BA5" w:rsidRPr="00427BA5" w:rsidRDefault="00427BA5" w:rsidP="00427BA5">
      <w:pPr>
        <w:shd w:val="clear" w:color="auto" w:fill="FFFFFF"/>
        <w:spacing w:after="0" w:line="360" w:lineRule="auto"/>
        <w:jc w:val="both"/>
        <w:rPr>
          <w:rFonts w:eastAsia="Times New Roman" w:cstheme="minorHAnsi"/>
          <w:sz w:val="24"/>
          <w:szCs w:val="24"/>
          <w:lang w:eastAsia="el-GR"/>
        </w:rPr>
      </w:pPr>
      <w:r w:rsidRPr="00427BA5">
        <w:rPr>
          <w:rFonts w:eastAsia="Times New Roman" w:cstheme="minorHAnsi"/>
          <w:sz w:val="24"/>
          <w:szCs w:val="24"/>
          <w:lang w:val="en-US" w:eastAsia="el-GR"/>
        </w:rPr>
        <w:t>-</w:t>
      </w:r>
      <w:r w:rsidRPr="00427BA5">
        <w:rPr>
          <w:rFonts w:eastAsia="Times New Roman" w:cstheme="minorHAnsi"/>
          <w:sz w:val="24"/>
          <w:szCs w:val="24"/>
          <w:lang w:val="en-GB" w:eastAsia="el-GR"/>
        </w:rPr>
        <w:t xml:space="preserve"> </w:t>
      </w:r>
      <w:proofErr w:type="gramStart"/>
      <w:r w:rsidRPr="00427BA5">
        <w:rPr>
          <w:rFonts w:eastAsia="Times New Roman" w:cstheme="minorHAnsi"/>
          <w:sz w:val="24"/>
          <w:szCs w:val="24"/>
          <w:lang w:val="en-GB" w:eastAsia="el-GR"/>
        </w:rPr>
        <w:t>clinical</w:t>
      </w:r>
      <w:proofErr w:type="gramEnd"/>
      <w:r w:rsidRPr="00427BA5">
        <w:rPr>
          <w:rFonts w:eastAsia="Times New Roman" w:cstheme="minorHAnsi"/>
          <w:sz w:val="24"/>
          <w:szCs w:val="24"/>
          <w:lang w:val="en-GB" w:eastAsia="el-GR"/>
        </w:rPr>
        <w:t xml:space="preserve"> care,</w:t>
      </w:r>
    </w:p>
    <w:p w:rsidR="00427BA5" w:rsidRPr="00427BA5" w:rsidRDefault="00427BA5" w:rsidP="00427BA5">
      <w:pPr>
        <w:shd w:val="clear" w:color="auto" w:fill="FFFFFF"/>
        <w:spacing w:after="0" w:line="360" w:lineRule="auto"/>
        <w:jc w:val="both"/>
        <w:rPr>
          <w:rFonts w:eastAsia="Times New Roman" w:cstheme="minorHAnsi"/>
          <w:sz w:val="24"/>
          <w:szCs w:val="24"/>
          <w:lang w:val="en-US" w:eastAsia="el-GR"/>
        </w:rPr>
      </w:pPr>
      <w:r w:rsidRPr="00427BA5">
        <w:rPr>
          <w:rFonts w:eastAsia="Times New Roman" w:cstheme="minorHAnsi"/>
          <w:sz w:val="24"/>
          <w:szCs w:val="24"/>
          <w:lang w:val="en-US" w:eastAsia="el-GR"/>
        </w:rPr>
        <w:t xml:space="preserve">- </w:t>
      </w:r>
      <w:proofErr w:type="gramStart"/>
      <w:r w:rsidRPr="00427BA5">
        <w:rPr>
          <w:rFonts w:eastAsia="Times New Roman" w:cstheme="minorHAnsi"/>
          <w:sz w:val="24"/>
          <w:szCs w:val="24"/>
          <w:lang w:val="en-GB" w:eastAsia="el-GR"/>
        </w:rPr>
        <w:t>policy</w:t>
      </w:r>
      <w:proofErr w:type="gramEnd"/>
      <w:r w:rsidRPr="00427BA5">
        <w:rPr>
          <w:rFonts w:eastAsia="Times New Roman" w:cstheme="minorHAnsi"/>
          <w:sz w:val="24"/>
          <w:szCs w:val="24"/>
          <w:lang w:val="en-GB" w:eastAsia="el-GR"/>
        </w:rPr>
        <w:t xml:space="preserve"> and patient engagement</w:t>
      </w:r>
    </w:p>
    <w:p w:rsidR="00427BA5" w:rsidRPr="00427BA5" w:rsidRDefault="00427BA5" w:rsidP="00427BA5">
      <w:pPr>
        <w:shd w:val="clear" w:color="auto" w:fill="FFFFFF"/>
        <w:spacing w:after="0" w:line="360" w:lineRule="auto"/>
        <w:jc w:val="both"/>
        <w:rPr>
          <w:rFonts w:eastAsia="Times New Roman" w:cstheme="minorHAnsi"/>
          <w:sz w:val="24"/>
          <w:szCs w:val="24"/>
          <w:lang w:val="en-US" w:eastAsia="el-GR"/>
        </w:rPr>
      </w:pPr>
      <w:r w:rsidRPr="00427BA5">
        <w:rPr>
          <w:rFonts w:eastAsia="Times New Roman" w:cstheme="minorHAnsi"/>
          <w:sz w:val="24"/>
          <w:szCs w:val="24"/>
          <w:lang w:val="en-US" w:eastAsia="el-GR"/>
        </w:rPr>
        <w:t>-</w:t>
      </w:r>
      <w:r w:rsidRPr="00427BA5">
        <w:rPr>
          <w:rFonts w:eastAsia="Times New Roman" w:cstheme="minorHAnsi"/>
          <w:sz w:val="24"/>
          <w:szCs w:val="24"/>
          <w:lang w:val="en-GB" w:eastAsia="el-GR"/>
        </w:rPr>
        <w:t xml:space="preserve"> </w:t>
      </w:r>
      <w:proofErr w:type="gramStart"/>
      <w:r w:rsidRPr="00427BA5">
        <w:rPr>
          <w:rFonts w:eastAsia="Times New Roman" w:cstheme="minorHAnsi"/>
          <w:sz w:val="24"/>
          <w:szCs w:val="24"/>
          <w:lang w:val="en-GB" w:eastAsia="el-GR"/>
        </w:rPr>
        <w:t>education</w:t>
      </w:r>
      <w:proofErr w:type="gramEnd"/>
      <w:r w:rsidRPr="00427BA5">
        <w:rPr>
          <w:rFonts w:eastAsia="Times New Roman" w:cstheme="minorHAnsi"/>
          <w:sz w:val="24"/>
          <w:szCs w:val="24"/>
          <w:lang w:val="en-GB" w:eastAsia="el-GR"/>
        </w:rPr>
        <w:t xml:space="preserve"> &amp;training.</w:t>
      </w:r>
    </w:p>
    <w:p w:rsidR="00427BA5" w:rsidRPr="00427BA5" w:rsidRDefault="00427BA5" w:rsidP="00427BA5">
      <w:pPr>
        <w:shd w:val="clear" w:color="auto" w:fill="FFFFFF"/>
        <w:spacing w:after="0" w:line="360" w:lineRule="auto"/>
        <w:jc w:val="both"/>
        <w:rPr>
          <w:rFonts w:eastAsia="Times New Roman" w:cstheme="minorHAnsi"/>
          <w:sz w:val="24"/>
          <w:szCs w:val="24"/>
          <w:lang w:val="en-GB" w:eastAsia="el-GR"/>
        </w:rPr>
      </w:pPr>
      <w:r w:rsidRPr="00427BA5">
        <w:rPr>
          <w:rFonts w:eastAsia="Times New Roman" w:cstheme="minorHAnsi"/>
          <w:sz w:val="24"/>
          <w:szCs w:val="24"/>
          <w:lang w:val="en-GB" w:eastAsia="el-GR"/>
        </w:rPr>
        <w:t>Pancreatic working group developed PPC governance model based on EURACAN governance model.</w:t>
      </w:r>
    </w:p>
    <w:p w:rsidR="00ED6A7A" w:rsidRPr="00427BA5" w:rsidRDefault="00ED6A7A">
      <w:pPr>
        <w:rPr>
          <w:lang w:val="en-GB"/>
        </w:rPr>
      </w:pPr>
    </w:p>
    <w:sectPr w:rsidR="00ED6A7A" w:rsidRPr="00427BA5" w:rsidSect="00ED6A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7BA5"/>
    <w:rsid w:val="00427BA5"/>
    <w:rsid w:val="00576AD1"/>
    <w:rsid w:val="00AA5C88"/>
    <w:rsid w:val="00C3127D"/>
    <w:rsid w:val="00ED6A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27BA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1028</Characters>
  <Application>Microsoft Office Word</Application>
  <DocSecurity>0</DocSecurity>
  <Lines>8</Lines>
  <Paragraphs>2</Paragraphs>
  <ScaleCrop>false</ScaleCrop>
  <Company>HP</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LabUser</cp:lastModifiedBy>
  <cp:revision>3</cp:revision>
  <dcterms:created xsi:type="dcterms:W3CDTF">2024-02-01T07:50:00Z</dcterms:created>
  <dcterms:modified xsi:type="dcterms:W3CDTF">2024-02-01T08:10:00Z</dcterms:modified>
</cp:coreProperties>
</file>